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4435" cy="1506866"/>
                <wp:effectExtent l="6350" t="6350" r="6350" b="635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6094433" cy="150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79.9pt;height:118.7pt;mso-wrap-distance-left:0.0pt;mso-wrap-distance-top:0.0pt;mso-wrap-distance-right:0.0pt;mso-wrap-distance-bottom:0.0pt;rotation:0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Tahoma" w:hAnsi="Tahoma" w:eastAsia="Tahoma" w:cs="Tahoma"/>
          <w:b/>
          <w:bCs/>
          <w:sz w:val="24"/>
          <w:szCs w:val="24"/>
        </w:rPr>
      </w:pPr>
      <w:r>
        <w:rPr>
          <w:rFonts w:ascii="Tahoma" w:hAnsi="Tahoma" w:eastAsia="Tahoma" w:cs="Tahoma"/>
          <w:b/>
          <w:bCs/>
          <w:sz w:val="24"/>
          <w:szCs w:val="24"/>
        </w:rPr>
      </w:r>
      <w:r/>
    </w:p>
    <w:p>
      <w:pPr>
        <w:jc w:val="center"/>
        <w:rPr>
          <w:rFonts w:ascii="Tahoma" w:hAnsi="Tahoma" w:eastAsia="Tahoma" w:cs="Tahoma"/>
          <w:b/>
          <w:bCs/>
          <w:sz w:val="24"/>
          <w:szCs w:val="24"/>
        </w:rPr>
      </w:pPr>
      <w:r>
        <w:rPr>
          <w:rFonts w:ascii="Tahoma" w:hAnsi="Tahoma" w:eastAsia="Tahoma" w:cs="Tahoma"/>
          <w:b/>
          <w:bCs/>
          <w:sz w:val="24"/>
          <w:szCs w:val="24"/>
        </w:rPr>
        <w:t xml:space="preserve">TICKETING POLICY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Le condizioni di vendita sono state ideate con l'obiettivo di garantire totale trasparenza nello svolgimento delle attività e di contrastare nel modo più efficace il fenomeno del </w:t>
      </w:r>
      <w:r>
        <w:rPr>
          <w:rFonts w:ascii="Tahoma" w:hAnsi="Tahoma" w:eastAsia="Tahoma" w:cs="Tahoma"/>
          <w:sz w:val="24"/>
          <w:szCs w:val="24"/>
        </w:rPr>
        <w:t xml:space="preserve">secondary</w:t>
      </w:r>
      <w:r>
        <w:rPr>
          <w:rFonts w:ascii="Tahoma" w:hAnsi="Tahoma" w:eastAsia="Tahoma" w:cs="Tahoma"/>
          <w:sz w:val="24"/>
          <w:szCs w:val="24"/>
        </w:rPr>
        <w:t xml:space="preserve"> ticketing, al fine di garantire la migliore tutela per il pubblico.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Condizione necessaria per garantire la tracciabilità economica è l'identificazione dell'acquir</w:t>
      </w:r>
      <w:r>
        <w:rPr>
          <w:rFonts w:ascii="Tahoma" w:hAnsi="Tahoma" w:eastAsia="Tahoma" w:cs="Tahoma"/>
          <w:sz w:val="24"/>
          <w:szCs w:val="24"/>
        </w:rPr>
        <w:t xml:space="preserve">ente in ogni fase della vendita, dalla registrazione sul portale o nei punti vendita, alla stampa del nominativo dell’utilizzatore su ciascun titolo di accesso; controlli a campione e verifiche mirate verranno effettuate per tutta la durata della vendita, </w:t>
      </w:r>
      <w:r>
        <w:rPr>
          <w:rFonts w:ascii="Tahoma" w:hAnsi="Tahoma" w:eastAsia="Tahoma" w:cs="Tahoma"/>
          <w:sz w:val="24"/>
          <w:szCs w:val="24"/>
        </w:rPr>
        <w:t xml:space="preserve">sia online che presso i punti vendita. Qualora, anche nei giorni successivi alla vendita, dovessero essere identificate operazioni non conformi alle linee guida sopra riportate, queste saranno immediatamente segnalate. A seguito delle necessarie analisi e </w:t>
      </w:r>
      <w:r>
        <w:rPr>
          <w:rFonts w:ascii="Tahoma" w:hAnsi="Tahoma" w:eastAsia="Tahoma" w:cs="Tahoma"/>
          <w:sz w:val="24"/>
          <w:szCs w:val="24"/>
        </w:rPr>
        <w:t xml:space="preserve">valutazioni</w:t>
      </w:r>
      <w:r>
        <w:rPr>
          <w:rFonts w:ascii="Tahoma" w:hAnsi="Tahoma" w:eastAsia="Tahoma" w:cs="Tahoma"/>
          <w:sz w:val="24"/>
          <w:szCs w:val="24"/>
        </w:rPr>
        <w:t xml:space="preserve">, queste vendite potranno essere invalidate, previa comunicazione all'acquirente, annullando i biglietti emessi e stornando il relativo pagamento.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Per le operazioni che dovessero risultare chiaramente fraudolente si procederà con le necessarie azioni legali.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b/>
          <w:bCs/>
          <w:sz w:val="24"/>
          <w:szCs w:val="24"/>
          <w:u w:val="single"/>
        </w:rPr>
      </w:pPr>
      <w:r>
        <w:rPr>
          <w:rFonts w:ascii="Tahoma" w:hAnsi="Tahoma" w:eastAsia="Tahoma" w:cs="Tahoma"/>
          <w:b/>
          <w:bCs/>
          <w:sz w:val="24"/>
          <w:szCs w:val="24"/>
          <w:u w:val="single"/>
        </w:rPr>
        <w:t xml:space="preserve">CONDIZIONI DI VENDITA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  <w:highlight w:val="none"/>
        </w:rPr>
      </w:pPr>
      <w:r>
        <w:rPr>
          <w:rFonts w:ascii="Tahoma" w:hAnsi="Tahoma" w:eastAsia="Tahoma" w:cs="Tahoma"/>
          <w:sz w:val="24"/>
          <w:szCs w:val="24"/>
        </w:rPr>
        <w:t xml:space="preserve">I bambini fino a </w:t>
      </w:r>
      <w:r>
        <w:rPr>
          <w:rFonts w:ascii="Tahoma" w:hAnsi="Tahoma" w:eastAsia="Tahoma" w:cs="Tahoma"/>
          <w:sz w:val="24"/>
          <w:szCs w:val="24"/>
        </w:rPr>
        <w:t xml:space="preserve">4</w:t>
      </w:r>
      <w:r>
        <w:rPr>
          <w:rFonts w:ascii="Tahoma" w:hAnsi="Tahoma" w:eastAsia="Tahoma" w:cs="Tahoma"/>
          <w:sz w:val="24"/>
          <w:szCs w:val="24"/>
        </w:rPr>
        <w:t xml:space="preserve"> anni non compiuti avranno diritto all’ingresso gratuito se non occuperanno un posto a sedere.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  <w:highlight w:val="none"/>
        </w:rPr>
        <w:t xml:space="preserve">Per accesso disabili seguire le indicazioni riportate su </w:t>
      </w:r>
      <w:hyperlink r:id="rId10" w:tooltip="https://backendcdn.vivaticket.it/wms_images/zeroofficial/tour2024/AUTORITRATTO_REGOLAMENTO_DVA.pdf" w:history="1">
        <w:r>
          <w:rPr>
            <w:rStyle w:val="844"/>
            <w:rFonts w:ascii="Tahoma" w:hAnsi="Tahoma" w:eastAsia="Tahoma" w:cs="Tahoma"/>
            <w:sz w:val="24"/>
            <w:szCs w:val="24"/>
            <w:highlight w:val="none"/>
          </w:rPr>
          <w:t xml:space="preserve">questo modulo</w:t>
        </w:r>
      </w:hyperlink>
      <w:r>
        <w:rPr>
          <w:rFonts w:ascii="Tahoma" w:hAnsi="Tahoma" w:eastAsia="Tahoma" w:cs="Tahoma"/>
          <w:sz w:val="24"/>
          <w:szCs w:val="24"/>
          <w:highlight w:val="none"/>
        </w:rPr>
        <w:t xml:space="preserve">.</w:t>
      </w:r>
      <w:r>
        <w:rPr>
          <w:rFonts w:ascii="Tahoma" w:hAnsi="Tahoma" w:eastAsia="Tahoma" w:cs="Tahoma"/>
          <w:sz w:val="24"/>
          <w:szCs w:val="24"/>
          <w:highlight w:val="none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b/>
          <w:bCs/>
          <w:sz w:val="24"/>
          <w:szCs w:val="24"/>
          <w:u w:val="single"/>
        </w:rPr>
      </w:pPr>
      <w:r>
        <w:rPr>
          <w:rFonts w:ascii="Tahoma" w:hAnsi="Tahoma" w:eastAsia="Tahoma" w:cs="Tahoma"/>
          <w:b/>
          <w:bCs/>
          <w:sz w:val="24"/>
          <w:szCs w:val="24"/>
          <w:u w:val="single"/>
        </w:rPr>
        <w:t xml:space="preserve">CANALI DI VENDITA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I diversi canali di vendita dei titoli di accesso saranno configurati e gestiti separatamente per meglio favorire i differenti controlli che potranno essere effettuati.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I canali sono: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sito web per Ass. Cult. Fonopoli </w:t>
      </w:r>
      <w:hyperlink r:id="rId11" w:tooltip="https://renatozero-fc.vivaticket.it/" w:history="1">
        <w:r>
          <w:rPr>
            <w:rStyle w:val="844"/>
            <w:rFonts w:ascii="Tahoma" w:hAnsi="Tahoma" w:eastAsia="Tahoma" w:cs="Tahoma"/>
            <w:sz w:val="24"/>
            <w:szCs w:val="24"/>
          </w:rPr>
          <w:t xml:space="preserve">renatozero-fc.vivaticket.it</w:t>
        </w:r>
      </w:hyperlink>
      <w:r>
        <w:rPr>
          <w:rFonts w:ascii="Tahoma" w:hAnsi="Tahoma" w:eastAsia="Tahoma" w:cs="Tahoma"/>
          <w:sz w:val="24"/>
          <w:szCs w:val="24"/>
        </w:rPr>
        <w:t xml:space="preserve"> vendita in prelazione dal </w:t>
      </w:r>
      <w:r>
        <w:rPr>
          <w:rFonts w:ascii="Tahoma" w:hAnsi="Tahoma" w:eastAsia="Tahoma" w:cs="Tahoma"/>
          <w:sz w:val="24"/>
          <w:szCs w:val="24"/>
        </w:rPr>
        <w:t xml:space="preserve">06</w:t>
      </w:r>
      <w:r>
        <w:rPr>
          <w:rFonts w:ascii="Tahoma" w:hAnsi="Tahoma" w:eastAsia="Tahoma" w:cs="Tahoma"/>
          <w:sz w:val="24"/>
          <w:szCs w:val="24"/>
        </w:rPr>
        <w:t xml:space="preserve">/</w:t>
      </w:r>
      <w:r>
        <w:rPr>
          <w:rFonts w:ascii="Tahoma" w:hAnsi="Tahoma" w:eastAsia="Tahoma" w:cs="Tahoma"/>
          <w:sz w:val="24"/>
          <w:szCs w:val="24"/>
        </w:rPr>
        <w:t xml:space="preserve">12</w:t>
      </w:r>
      <w:r>
        <w:rPr>
          <w:rFonts w:ascii="Tahoma" w:hAnsi="Tahoma" w:eastAsia="Tahoma" w:cs="Tahoma"/>
          <w:sz w:val="24"/>
          <w:szCs w:val="24"/>
        </w:rPr>
        <w:t xml:space="preserve">/2023 ore 11:00 al </w:t>
      </w:r>
      <w:r>
        <w:rPr>
          <w:rFonts w:ascii="Tahoma" w:hAnsi="Tahoma" w:eastAsia="Tahoma" w:cs="Tahoma"/>
          <w:sz w:val="24"/>
          <w:szCs w:val="24"/>
        </w:rPr>
        <w:t xml:space="preserve">0</w:t>
      </w:r>
      <w:r>
        <w:rPr>
          <w:rFonts w:ascii="Tahoma" w:hAnsi="Tahoma" w:eastAsia="Tahoma" w:cs="Tahoma"/>
          <w:sz w:val="24"/>
          <w:szCs w:val="24"/>
        </w:rPr>
        <w:t xml:space="preserve">7/</w:t>
      </w:r>
      <w:r>
        <w:rPr>
          <w:rFonts w:ascii="Tahoma" w:hAnsi="Tahoma" w:eastAsia="Tahoma" w:cs="Tahoma"/>
          <w:sz w:val="24"/>
          <w:szCs w:val="24"/>
        </w:rPr>
        <w:t xml:space="preserve">12</w:t>
      </w:r>
      <w:r>
        <w:rPr>
          <w:rFonts w:ascii="Tahoma" w:hAnsi="Tahoma" w:eastAsia="Tahoma" w:cs="Tahoma"/>
          <w:sz w:val="24"/>
          <w:szCs w:val="24"/>
        </w:rPr>
        <w:t xml:space="preserve">/2023 ore 10:00</w:t>
      </w: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sito web per </w:t>
      </w:r>
      <w:r>
        <w:rPr>
          <w:rFonts w:ascii="Tahoma" w:hAnsi="Tahoma" w:eastAsia="Tahoma" w:cs="Tahoma"/>
          <w:sz w:val="24"/>
          <w:szCs w:val="24"/>
        </w:rPr>
        <w:t xml:space="preserve">Pubblico generale</w:t>
      </w:r>
      <w:r>
        <w:rPr>
          <w:rFonts w:ascii="Tahoma" w:hAnsi="Tahoma" w:eastAsia="Tahoma" w:cs="Tahoma"/>
          <w:sz w:val="24"/>
          <w:szCs w:val="24"/>
        </w:rPr>
        <w:t xml:space="preserve"> </w:t>
      </w:r>
      <w:hyperlink r:id="rId12" w:tooltip="https://renatozero.vivaticket.it/" w:history="1">
        <w:r>
          <w:rPr>
            <w:rStyle w:val="844"/>
            <w:rFonts w:ascii="Tahoma" w:hAnsi="Tahoma" w:eastAsia="Tahoma" w:cs="Tahoma"/>
            <w:sz w:val="24"/>
            <w:szCs w:val="24"/>
          </w:rPr>
          <w:t xml:space="preserve">renatozero.vivaticket.it</w:t>
        </w:r>
      </w:hyperlink>
      <w:r>
        <w:rPr>
          <w:rFonts w:ascii="Tahoma" w:hAnsi="Tahoma" w:eastAsia="Tahoma" w:cs="Tahoma"/>
          <w:sz w:val="24"/>
          <w:szCs w:val="24"/>
        </w:rPr>
        <w:t xml:space="preserve"> e </w:t>
      </w:r>
      <w:hyperlink r:id="rId13" w:tooltip="https://www.vivaticket.com/" w:history="1">
        <w:r>
          <w:rPr>
            <w:rStyle w:val="844"/>
            <w:rFonts w:ascii="Tahoma" w:hAnsi="Tahoma" w:eastAsia="Tahoma" w:cs="Tahoma"/>
            <w:sz w:val="24"/>
            <w:szCs w:val="24"/>
          </w:rPr>
          <w:t xml:space="preserve">www.vivaticket.com</w:t>
        </w:r>
      </w:hyperlink>
      <w:r>
        <w:rPr>
          <w:rFonts w:ascii="Tahoma" w:hAnsi="Tahoma" w:eastAsia="Tahoma" w:cs="Tahoma"/>
          <w:sz w:val="24"/>
          <w:szCs w:val="24"/>
        </w:rPr>
        <w:t xml:space="preserve"> vendita</w:t>
      </w:r>
      <w:r>
        <w:rPr>
          <w:rFonts w:ascii="Tahoma" w:hAnsi="Tahoma" w:eastAsia="Tahoma" w:cs="Tahoma"/>
          <w:sz w:val="24"/>
          <w:szCs w:val="24"/>
        </w:rPr>
        <w:t xml:space="preserve"> aperta a tutti</w:t>
      </w:r>
      <w:r>
        <w:rPr>
          <w:rFonts w:ascii="Tahoma" w:hAnsi="Tahoma" w:eastAsia="Tahoma" w:cs="Tahoma"/>
          <w:sz w:val="24"/>
          <w:szCs w:val="24"/>
        </w:rPr>
        <w:t xml:space="preserve"> dal </w:t>
      </w:r>
      <w:r>
        <w:rPr>
          <w:rFonts w:ascii="Tahoma" w:hAnsi="Tahoma" w:eastAsia="Tahoma" w:cs="Tahoma"/>
          <w:sz w:val="24"/>
          <w:szCs w:val="24"/>
        </w:rPr>
        <w:t xml:space="preserve">07</w:t>
      </w:r>
      <w:r>
        <w:rPr>
          <w:rFonts w:ascii="Tahoma" w:hAnsi="Tahoma" w:eastAsia="Tahoma" w:cs="Tahoma"/>
          <w:sz w:val="24"/>
          <w:szCs w:val="24"/>
        </w:rPr>
        <w:t xml:space="preserve">/</w:t>
      </w:r>
      <w:r>
        <w:rPr>
          <w:rFonts w:ascii="Tahoma" w:hAnsi="Tahoma" w:eastAsia="Tahoma" w:cs="Tahoma"/>
          <w:sz w:val="24"/>
          <w:szCs w:val="24"/>
        </w:rPr>
        <w:t xml:space="preserve">12</w:t>
      </w:r>
      <w:r>
        <w:rPr>
          <w:rFonts w:ascii="Tahoma" w:hAnsi="Tahoma" w:eastAsia="Tahoma" w:cs="Tahoma"/>
          <w:sz w:val="24"/>
          <w:szCs w:val="24"/>
        </w:rPr>
        <w:t xml:space="preserve">/2023 ore 11:00</w:t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punti vendita fisici a livello nazionale vendita dal </w:t>
      </w:r>
      <w:r>
        <w:rPr>
          <w:rFonts w:ascii="Tahoma" w:hAnsi="Tahoma" w:eastAsia="Tahoma" w:cs="Tahoma"/>
          <w:sz w:val="24"/>
          <w:szCs w:val="24"/>
        </w:rPr>
        <w:t xml:space="preserve">0</w:t>
      </w:r>
      <w:r>
        <w:rPr>
          <w:rFonts w:ascii="Tahoma" w:hAnsi="Tahoma" w:eastAsia="Tahoma" w:cs="Tahoma"/>
          <w:sz w:val="24"/>
          <w:szCs w:val="24"/>
        </w:rPr>
        <w:t xml:space="preserve">7/</w:t>
      </w:r>
      <w:r>
        <w:rPr>
          <w:rFonts w:ascii="Tahoma" w:hAnsi="Tahoma" w:eastAsia="Tahoma" w:cs="Tahoma"/>
          <w:sz w:val="24"/>
          <w:szCs w:val="24"/>
        </w:rPr>
        <w:t xml:space="preserve">12</w:t>
      </w:r>
      <w:r>
        <w:rPr>
          <w:rFonts w:ascii="Tahoma" w:hAnsi="Tahoma" w:eastAsia="Tahoma" w:cs="Tahoma"/>
          <w:sz w:val="24"/>
          <w:szCs w:val="24"/>
        </w:rPr>
        <w:t xml:space="preserve">/2023 ore 11:00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I controlli avverranno su tutti i differenti canali distributivi, sia online che fisici.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Ogni punto vendita riceverà una specifica comunicazione in tal senso, a garanzia della corretta informazione di tutti gli operatori coinvolti.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Sui canali online sono stati implementati, inoltre, i sistemi di protezione dalle frodi più moderni a disposizione sul mercato:</w:t>
      </w:r>
      <w:r/>
    </w:p>
    <w:p>
      <w:pPr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Protezione piattaforma ticketing con apparati di mitigazione degli attacchi </w:t>
      </w:r>
      <w:r>
        <w:rPr>
          <w:rFonts w:ascii="Tahoma" w:hAnsi="Tahoma" w:eastAsia="Tahoma" w:cs="Tahoma"/>
          <w:sz w:val="24"/>
          <w:szCs w:val="24"/>
        </w:rPr>
        <w:t xml:space="preserve">DDoS</w:t>
      </w:r>
      <w:r>
        <w:rPr>
          <w:rFonts w:ascii="Tahoma" w:hAnsi="Tahoma" w:eastAsia="Tahoma" w:cs="Tahoma"/>
          <w:sz w:val="24"/>
          <w:szCs w:val="24"/>
        </w:rPr>
        <w:t xml:space="preserve"> (Distributed </w:t>
      </w:r>
      <w:r>
        <w:rPr>
          <w:rFonts w:ascii="Tahoma" w:hAnsi="Tahoma" w:eastAsia="Tahoma" w:cs="Tahoma"/>
          <w:sz w:val="24"/>
          <w:szCs w:val="24"/>
        </w:rPr>
        <w:t xml:space="preserve">Denial</w:t>
      </w:r>
      <w:r>
        <w:rPr>
          <w:rFonts w:ascii="Tahoma" w:hAnsi="Tahoma" w:eastAsia="Tahoma" w:cs="Tahoma"/>
          <w:sz w:val="24"/>
          <w:szCs w:val="24"/>
        </w:rPr>
        <w:t xml:space="preserve"> of Service)</w:t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Protezione dei dati attraverso un WAF (Web Application Firewall)</w:t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Riconoscimento umano attraverso Google </w:t>
      </w:r>
      <w:r>
        <w:rPr>
          <w:rFonts w:ascii="Tahoma" w:hAnsi="Tahoma" w:eastAsia="Tahoma" w:cs="Tahoma"/>
          <w:sz w:val="24"/>
          <w:szCs w:val="24"/>
        </w:rPr>
        <w:t xml:space="preserve">reCAPTCHA</w:t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283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Integrazione con sistemi di </w:t>
      </w:r>
      <w:r>
        <w:rPr>
          <w:rFonts w:ascii="Tahoma" w:hAnsi="Tahoma" w:eastAsia="Tahoma" w:cs="Tahoma"/>
          <w:sz w:val="24"/>
          <w:szCs w:val="24"/>
        </w:rPr>
        <w:t xml:space="preserve">waiting</w:t>
      </w:r>
      <w:r>
        <w:rPr>
          <w:rFonts w:ascii="Tahoma" w:hAnsi="Tahoma" w:eastAsia="Tahoma" w:cs="Tahoma"/>
          <w:sz w:val="24"/>
          <w:szCs w:val="24"/>
        </w:rPr>
        <w:t xml:space="preserve"> room per assicurare trasparenza nel diritto di accesso alla piattaforma</w:t>
      </w:r>
      <w:r/>
    </w:p>
    <w:p>
      <w:pPr>
        <w:rPr>
          <w:rFonts w:ascii="Tahoma" w:hAnsi="Tahoma" w:eastAsia="Tahoma" w:cs="Tahoma"/>
          <w:sz w:val="24"/>
          <w:szCs w:val="24"/>
          <w:u w:val="single"/>
        </w:rPr>
      </w:pPr>
      <w:r>
        <w:rPr>
          <w:rFonts w:ascii="Tahoma" w:hAnsi="Tahoma" w:eastAsia="Tahoma" w:cs="Tahoma"/>
          <w:sz w:val="24"/>
          <w:szCs w:val="24"/>
          <w:u w:val="single"/>
        </w:rPr>
      </w:r>
      <w:r/>
    </w:p>
    <w:p>
      <w:pPr>
        <w:rPr>
          <w:rFonts w:ascii="Tahoma" w:hAnsi="Tahoma" w:eastAsia="Tahoma" w:cs="Tahoma"/>
          <w:b/>
          <w:bCs/>
          <w:sz w:val="24"/>
          <w:szCs w:val="24"/>
          <w:u w:val="single"/>
        </w:rPr>
      </w:pPr>
      <w:r>
        <w:rPr>
          <w:rFonts w:ascii="Tahoma" w:hAnsi="Tahoma" w:eastAsia="Tahoma" w:cs="Tahoma"/>
          <w:b/>
          <w:bCs/>
          <w:sz w:val="24"/>
          <w:szCs w:val="24"/>
          <w:u w:val="single"/>
        </w:rPr>
        <w:t xml:space="preserve">QUANTITA’ DI BIGLIETTI ACQUISTABILI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Allo scopo di contrastare </w:t>
      </w:r>
      <w:r>
        <w:rPr>
          <w:rFonts w:ascii="Tahoma" w:hAnsi="Tahoma" w:eastAsia="Tahoma" w:cs="Tahoma"/>
          <w:sz w:val="24"/>
          <w:szCs w:val="24"/>
        </w:rPr>
        <w:t xml:space="preserve">eventuali comportamenti fraudolenti</w:t>
      </w:r>
      <w:r>
        <w:rPr>
          <w:rFonts w:ascii="Tahoma" w:hAnsi="Tahoma" w:eastAsia="Tahoma" w:cs="Tahoma"/>
          <w:sz w:val="24"/>
          <w:szCs w:val="24"/>
        </w:rPr>
        <w:t xml:space="preserve">, sono state inserite le seguenti limitazioni al numero di ticket acquistabili per ciascuna data del tour: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39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</w:t>
      </w:r>
      <w:r>
        <w:rPr>
          <w:rFonts w:ascii="Tahoma" w:hAnsi="Tahoma" w:eastAsia="Tahoma" w:cs="Tahoma"/>
          <w:b/>
          <w:bCs/>
          <w:sz w:val="24"/>
          <w:szCs w:val="24"/>
        </w:rPr>
        <w:t xml:space="preserve">PRELAZIONE ASS. CULT. FONOPOLI</w:t>
      </w:r>
      <w:r>
        <w:rPr>
          <w:rFonts w:ascii="Tahoma" w:hAnsi="Tahoma" w:eastAsia="Tahoma" w:cs="Tahoma"/>
          <w:b/>
          <w:bCs/>
          <w:sz w:val="24"/>
          <w:szCs w:val="24"/>
        </w:rPr>
        <w:br/>
      </w:r>
      <w:r>
        <w:rPr>
          <w:rFonts w:ascii="Tahoma" w:hAnsi="Tahoma" w:eastAsia="Tahoma" w:cs="Tahoma"/>
          <w:sz w:val="24"/>
          <w:szCs w:val="24"/>
        </w:rPr>
        <w:t xml:space="preserve">Ogni iscritto, identificato tramite codice univoco, potrà acquistare, per ciascuna data:</w:t>
      </w:r>
      <w:r/>
    </w:p>
    <w:p>
      <w:pPr>
        <w:ind w:left="39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68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o 1 biglietto Platea Gold + 5 biglietti altri settori </w:t>
      </w:r>
      <w:r>
        <w:rPr>
          <w:rFonts w:ascii="Tahoma" w:hAnsi="Tahoma" w:eastAsia="Tahoma" w:cs="Tahoma"/>
          <w:sz w:val="24"/>
          <w:szCs w:val="24"/>
        </w:rPr>
        <w:br/>
        <w:t xml:space="preserve">           oppure</w:t>
      </w:r>
      <w:r/>
    </w:p>
    <w:p>
      <w:pPr>
        <w:ind w:left="68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o 2 biglietti Platea Gold + 4 biglietti altri settori </w:t>
      </w:r>
      <w:r/>
    </w:p>
    <w:p>
      <w:pPr>
        <w:ind w:left="68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           oppure </w:t>
      </w:r>
      <w:r/>
    </w:p>
    <w:p>
      <w:pPr>
        <w:ind w:left="68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o </w:t>
      </w:r>
      <w:r>
        <w:rPr>
          <w:rFonts w:ascii="Tahoma" w:hAnsi="Tahoma" w:eastAsia="Tahoma" w:cs="Tahoma"/>
          <w:sz w:val="24"/>
          <w:szCs w:val="24"/>
        </w:rPr>
        <w:t xml:space="preserve">6</w:t>
      </w:r>
      <w:r>
        <w:rPr>
          <w:rFonts w:ascii="Tahoma" w:hAnsi="Tahoma" w:eastAsia="Tahoma" w:cs="Tahoma"/>
          <w:sz w:val="24"/>
          <w:szCs w:val="24"/>
        </w:rPr>
        <w:t xml:space="preserve"> biglietti qualsiasi settore escluso Platea Gold</w:t>
      </w:r>
      <w:r>
        <w:rPr>
          <w:rFonts w:ascii="Tahoma" w:hAnsi="Tahoma" w:eastAsia="Tahoma" w:cs="Tahoma"/>
          <w:sz w:val="24"/>
          <w:szCs w:val="24"/>
        </w:rPr>
        <w:tab/>
      </w: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39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39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</w:t>
      </w:r>
      <w:r>
        <w:rPr>
          <w:rFonts w:ascii="Tahoma" w:hAnsi="Tahoma" w:eastAsia="Tahoma" w:cs="Tahoma"/>
          <w:b/>
          <w:bCs/>
          <w:sz w:val="24"/>
          <w:szCs w:val="24"/>
        </w:rPr>
        <w:t xml:space="preserve">VENDITA LIBERA</w:t>
      </w:r>
      <w:r>
        <w:rPr>
          <w:rFonts w:ascii="Tahoma" w:hAnsi="Tahoma" w:eastAsia="Tahoma" w:cs="Tahoma"/>
          <w:b/>
          <w:bCs/>
          <w:sz w:val="24"/>
          <w:szCs w:val="24"/>
        </w:rPr>
        <w:t xml:space="preserve"> APERTA A TUTTI</w:t>
      </w:r>
      <w:r>
        <w:rPr>
          <w:rFonts w:ascii="Tahoma" w:hAnsi="Tahoma" w:eastAsia="Tahoma" w:cs="Tahoma"/>
          <w:sz w:val="24"/>
          <w:szCs w:val="24"/>
        </w:rPr>
        <w:br/>
        <w:t xml:space="preserve">Ogni acquirente potrà acquistare:</w:t>
      </w:r>
      <w:r/>
    </w:p>
    <w:p>
      <w:pPr>
        <w:ind w:left="39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73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o 1 biglietto Platea Gold + 5 biglietti altri settori</w:t>
      </w:r>
      <w:r/>
    </w:p>
    <w:p>
      <w:pPr>
        <w:ind w:left="73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        oppure</w:t>
      </w:r>
      <w:r/>
    </w:p>
    <w:p>
      <w:pPr>
        <w:ind w:left="73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o 2 biglietti Platea Gold + 4 biglietti altri settori</w:t>
      </w:r>
      <w:r/>
    </w:p>
    <w:p>
      <w:pPr>
        <w:ind w:left="73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        oppure </w:t>
      </w:r>
      <w:r/>
    </w:p>
    <w:p>
      <w:pPr>
        <w:ind w:left="737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o </w:t>
      </w:r>
      <w:r>
        <w:rPr>
          <w:rFonts w:ascii="Tahoma" w:hAnsi="Tahoma" w:eastAsia="Tahoma" w:cs="Tahoma"/>
          <w:sz w:val="24"/>
          <w:szCs w:val="24"/>
        </w:rPr>
        <w:t xml:space="preserve">6</w:t>
      </w:r>
      <w:r>
        <w:rPr>
          <w:rFonts w:ascii="Tahoma" w:hAnsi="Tahoma" w:eastAsia="Tahoma" w:cs="Tahoma"/>
          <w:sz w:val="24"/>
          <w:szCs w:val="24"/>
        </w:rPr>
        <w:t xml:space="preserve"> biglietti qualsiasi settore escluso Platea Gold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Fermi restando i limiti sopra descritti, non è previsto un limite al numero di transazioni massime per utente, né in fase di prelazione, né in fase di vendita libera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b/>
          <w:bCs/>
          <w:sz w:val="24"/>
          <w:szCs w:val="24"/>
          <w:u w:val="single"/>
        </w:rPr>
      </w:pPr>
      <w:r>
        <w:rPr>
          <w:rFonts w:ascii="Tahoma" w:hAnsi="Tahoma" w:eastAsia="Tahoma" w:cs="Tahoma"/>
          <w:b/>
          <w:bCs/>
          <w:sz w:val="24"/>
          <w:szCs w:val="24"/>
          <w:u w:val="single"/>
        </w:rPr>
        <w:t xml:space="preserve">CONSEGNA BIGLIETTI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Per gli acquisti online sarà possibile la scelta fra spedizione a domicilio o stampa a casa (</w:t>
      </w:r>
      <w:r>
        <w:rPr>
          <w:rFonts w:ascii="Tahoma" w:hAnsi="Tahoma" w:eastAsia="Tahoma" w:cs="Tahoma"/>
          <w:sz w:val="24"/>
          <w:szCs w:val="24"/>
        </w:rPr>
        <w:t xml:space="preserve">print@home</w:t>
      </w:r>
      <w:r>
        <w:rPr>
          <w:rFonts w:ascii="Tahoma" w:hAnsi="Tahoma" w:eastAsia="Tahoma" w:cs="Tahoma"/>
          <w:sz w:val="24"/>
          <w:szCs w:val="24"/>
        </w:rPr>
        <w:t xml:space="preserve">). Tutte le spedizioni avverranno tramite corriere espresso e saranno tracciabili. Per gli acquisti nei punti vendita fisici, la consegna dei titoli avverrà in tempo reale.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b/>
          <w:bCs/>
          <w:sz w:val="24"/>
          <w:szCs w:val="24"/>
          <w:u w:val="single"/>
        </w:rPr>
      </w:pPr>
      <w:r>
        <w:rPr>
          <w:rFonts w:ascii="Tahoma" w:hAnsi="Tahoma" w:eastAsia="Tahoma" w:cs="Tahoma"/>
          <w:b/>
          <w:bCs/>
          <w:sz w:val="24"/>
          <w:szCs w:val="24"/>
          <w:u w:val="single"/>
        </w:rPr>
        <w:t xml:space="preserve">TRACCIABILITA’ DELLE VENDITE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Per ciascuna transazione indipendentemente dal canale di vendita verrà creata una anagrafica di riferimento composta da: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ind w:left="51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Identificativo transazione</w:t>
      </w:r>
      <w:r/>
    </w:p>
    <w:p>
      <w:pPr>
        <w:ind w:left="51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Nominativo acquirente</w:t>
      </w:r>
      <w:r/>
    </w:p>
    <w:p>
      <w:pPr>
        <w:ind w:left="51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Codice fiscale acquirente</w:t>
      </w:r>
      <w:r/>
    </w:p>
    <w:p>
      <w:pPr>
        <w:ind w:left="51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Indirizzo </w:t>
      </w:r>
      <w:r>
        <w:rPr>
          <w:rFonts w:ascii="Tahoma" w:hAnsi="Tahoma" w:eastAsia="Tahoma" w:cs="Tahoma"/>
          <w:sz w:val="24"/>
          <w:szCs w:val="24"/>
        </w:rPr>
        <w:t xml:space="preserve">email</w:t>
      </w:r>
      <w:r>
        <w:rPr>
          <w:rFonts w:ascii="Tahoma" w:hAnsi="Tahoma" w:eastAsia="Tahoma" w:cs="Tahoma"/>
          <w:sz w:val="24"/>
          <w:szCs w:val="24"/>
        </w:rPr>
        <w:t xml:space="preserve"> acquirente</w:t>
      </w:r>
      <w:r/>
    </w:p>
    <w:p>
      <w:pPr>
        <w:ind w:left="51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Numero di telefono cellulare acquirente</w:t>
      </w:r>
      <w:r/>
    </w:p>
    <w:p>
      <w:pPr>
        <w:ind w:left="510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• Identificativo carta di credito utilizzata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Specifiche biglietti inclusi nell’ordine (prezzo, tipo titolo e sigillo fiscale di ciascun biglietto)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Questi dati saranno utilizzati ai fini degli accertamenti e delle verifiche necessari, oltre che </w:t>
      </w:r>
      <w:r>
        <w:rPr>
          <w:rFonts w:ascii="Tahoma" w:hAnsi="Tahoma" w:eastAsia="Tahoma" w:cs="Tahoma"/>
          <w:sz w:val="24"/>
          <w:szCs w:val="24"/>
        </w:rPr>
        <w:t xml:space="preserve">per l’invio di comunicazioni di servizio (link a sito e app informativi, ecc.).</w:t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</w:r>
      <w:r/>
    </w:p>
    <w:p>
      <w:pPr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 xml:space="preserve">Su ciascun biglietto verrà inoltre richiesto e riportato il nominativo della persona che parteciperà al concerto (per tutti i canali di vendita)</w:t>
      </w:r>
      <w:r/>
    </w:p>
    <w:sectPr>
      <w:footerReference w:type="default" r:id="rId8"/>
      <w:footnotePr/>
      <w:endnotePr>
        <w:numFmt w:val="decimal"/>
      </w:endnotePr>
      <w:type w:val="continuous"/>
      <w:pgSz w:w="11907" w:h="16839" w:orient="portrait"/>
      <w:pgMar w:top="1134" w:right="1134" w:bottom="1134" w:left="1134" w:header="0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SimSun">
    <w:panose1 w:val="0200050600000002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jc w:val="center"/>
    </w:pPr>
    <w:r>
      <w:br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5667375" cy="495300"/>
              <wp:effectExtent l="0" t="0" r="0" b="0"/>
              <wp:docPr id="1" name="Immagin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5" name="Immagine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667375" cy="4953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46.2pt;height:39.0pt;mso-wrap-distance-left:0.0pt;mso-wrap-distance-top:0.0pt;mso-wrap-distance-right:0.0pt;mso-wrap-distance-bottom:0.0pt;" stroked="f" strokeweight="1.00pt">
              <v:path textboxrect="0,0,0,0"/>
              <v:imagedata r:id="rId1" o:title=""/>
            </v:shape>
          </w:pict>
        </mc:Fallback>
      </mc:AlternateContent>
    </w:r>
    <w:r>
      <w:br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decimal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it-IT" w:eastAsia="zh-CN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38"/>
    <w:link w:val="835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basedOn w:val="838"/>
    <w:link w:val="836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838"/>
    <w:link w:val="837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4"/>
    <w:next w:val="834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basedOn w:val="838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4"/>
    <w:next w:val="8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basedOn w:val="838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4"/>
    <w:next w:val="834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basedOn w:val="838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4"/>
    <w:next w:val="834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basedOn w:val="838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4"/>
    <w:next w:val="834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basedOn w:val="838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4"/>
    <w:next w:val="834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basedOn w:val="838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34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4"/>
    <w:next w:val="834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8"/>
    <w:link w:val="679"/>
    <w:uiPriority w:val="10"/>
    <w:rPr>
      <w:sz w:val="48"/>
      <w:szCs w:val="48"/>
    </w:rPr>
  </w:style>
  <w:style w:type="paragraph" w:styleId="681">
    <w:name w:val="Subtitle"/>
    <w:basedOn w:val="834"/>
    <w:next w:val="834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8"/>
    <w:link w:val="681"/>
    <w:uiPriority w:val="11"/>
    <w:rPr>
      <w:sz w:val="24"/>
      <w:szCs w:val="24"/>
    </w:rPr>
  </w:style>
  <w:style w:type="paragraph" w:styleId="683">
    <w:name w:val="Quote"/>
    <w:basedOn w:val="834"/>
    <w:next w:val="834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4"/>
    <w:next w:val="834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38"/>
    <w:link w:val="841"/>
    <w:uiPriority w:val="99"/>
  </w:style>
  <w:style w:type="character" w:styleId="688">
    <w:name w:val="Footer Char"/>
    <w:basedOn w:val="838"/>
    <w:link w:val="842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842"/>
    <w:uiPriority w:val="99"/>
  </w:style>
  <w:style w:type="table" w:styleId="691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8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8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paragraph" w:styleId="835">
    <w:name w:val="Heading 1"/>
    <w:basedOn w:val="834"/>
    <w:next w:val="834"/>
    <w:qFormat/>
    <w:pPr>
      <w:keepLines/>
      <w:keepNext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836">
    <w:name w:val="Heading 2"/>
    <w:basedOn w:val="835"/>
    <w:next w:val="834"/>
    <w:qFormat/>
    <w:pPr>
      <w:outlineLvl w:val="1"/>
    </w:pPr>
    <w:rPr>
      <w:sz w:val="32"/>
      <w:szCs w:val="32"/>
    </w:rPr>
  </w:style>
  <w:style w:type="paragraph" w:styleId="837">
    <w:name w:val="Heading 3"/>
    <w:basedOn w:val="836"/>
    <w:next w:val="834"/>
    <w:qFormat/>
    <w:pPr>
      <w:outlineLvl w:val="2"/>
    </w:pPr>
    <w:rPr>
      <w:sz w:val="28"/>
      <w:szCs w:val="28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Header"/>
    <w:basedOn w:val="834"/>
    <w:qFormat/>
    <w:pPr>
      <w:tabs>
        <w:tab w:val="center" w:pos="4819" w:leader="none"/>
        <w:tab w:val="right" w:pos="9639" w:leader="none"/>
      </w:tabs>
    </w:pPr>
  </w:style>
  <w:style w:type="paragraph" w:styleId="842">
    <w:name w:val="Footer"/>
    <w:basedOn w:val="834"/>
    <w:qFormat/>
    <w:pPr>
      <w:tabs>
        <w:tab w:val="center" w:pos="4819" w:leader="none"/>
        <w:tab w:val="right" w:pos="9639" w:leader="none"/>
      </w:tabs>
    </w:pPr>
  </w:style>
  <w:style w:type="character" w:styleId="843">
    <w:name w:val="Strong"/>
    <w:basedOn w:val="838"/>
    <w:rPr>
      <w:b/>
      <w:bCs/>
    </w:rPr>
  </w:style>
  <w:style w:type="character" w:styleId="844">
    <w:name w:val="Hyperlink"/>
    <w:basedOn w:val="838"/>
    <w:rPr>
      <w:color w:val="0000ff"/>
      <w:u w:val="single"/>
    </w:rPr>
  </w:style>
  <w:style w:type="character" w:styleId="845">
    <w:name w:val="FollowedHyperlink"/>
    <w:basedOn w:val="838"/>
    <w:uiPriority w:val="99"/>
    <w:rPr>
      <w:color w:val="800080" w:themeColor="followedHyperlink"/>
      <w:u w:val="single"/>
    </w:rPr>
  </w:style>
  <w:style w:type="character" w:styleId="846">
    <w:name w:val="Unresolved Mention"/>
    <w:basedOn w:val="838"/>
    <w:uiPriority w:val="99"/>
    <w:semiHidden/>
    <w:unhideWhenUsed/>
    <w:rPr>
      <w:color w:val="605e5c"/>
      <w:shd w:val="clear" w:color="auto" w:fill="e1dfdd"/>
    </w:rPr>
  </w:style>
  <w:style w:type="character" w:styleId="847" w:customStyle="1">
    <w:name w:val="contentpasted0"/>
    <w:basedOn w:val="83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image" Target="media/image2.jpg"/><Relationship Id="rId10" Type="http://schemas.openxmlformats.org/officeDocument/2006/relationships/hyperlink" Target="https://backendcdn.vivaticket.it/wms_images/zeroofficial/tour2024/AUTORITRATTO_REGOLAMENTO_DVA.pdf" TargetMode="External"/><Relationship Id="rId11" Type="http://schemas.openxmlformats.org/officeDocument/2006/relationships/hyperlink" Target="https://renatozero-fc.vivaticket.it/" TargetMode="External"/><Relationship Id="rId12" Type="http://schemas.openxmlformats.org/officeDocument/2006/relationships/hyperlink" Target="https://renatozero.vivaticket.it/" TargetMode="External"/><Relationship Id="rId13" Type="http://schemas.openxmlformats.org/officeDocument/2006/relationships/hyperlink" Target="https://www.vivaticket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Rinaudo</dc:creator>
  <cp:keywords/>
  <dc:description/>
  <cp:revision>7</cp:revision>
  <dcterms:created xsi:type="dcterms:W3CDTF">2022-12-02T09:33:00Z</dcterms:created>
  <dcterms:modified xsi:type="dcterms:W3CDTF">2023-12-05T15:13:36Z</dcterms:modified>
</cp:coreProperties>
</file>